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720"/>
        <w:jc w:val="center"/>
        <w:rPr>
          <w:rFonts w:hint="eastAsia" w:ascii="方正小标宋简体" w:hAnsi="方正小标宋简体" w:eastAsia="方正小标宋简体" w:cs="方正小标宋简体"/>
          <w:i w:val="0"/>
          <w:caps w:val="0"/>
          <w:color w:val="333333"/>
          <w:spacing w:val="0"/>
          <w:sz w:val="16"/>
          <w:szCs w:val="16"/>
        </w:rPr>
      </w:pPr>
      <w:r>
        <w:rPr>
          <w:rFonts w:hint="eastAsia" w:ascii="方正小标宋简体" w:hAnsi="方正小标宋简体" w:eastAsia="方正小标宋简体" w:cs="方正小标宋简体"/>
          <w:b w:val="0"/>
          <w:i w:val="0"/>
          <w:caps w:val="0"/>
          <w:color w:val="333333"/>
          <w:spacing w:val="0"/>
          <w:sz w:val="36"/>
          <w:szCs w:val="36"/>
          <w:bdr w:val="none" w:color="auto" w:sz="0" w:space="0"/>
          <w:shd w:val="clear" w:fill="FEFEFE"/>
        </w:rPr>
        <w:t>中国银保监会办公厅关于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720"/>
        <w:jc w:val="center"/>
        <w:rPr>
          <w:rFonts w:hint="eastAsia" w:ascii="方正小标宋简体" w:hAnsi="方正小标宋简体" w:eastAsia="方正小标宋简体" w:cs="方正小标宋简体"/>
          <w:i w:val="0"/>
          <w:caps w:val="0"/>
          <w:color w:val="333333"/>
          <w:spacing w:val="0"/>
          <w:sz w:val="16"/>
          <w:szCs w:val="16"/>
        </w:rPr>
      </w:pPr>
      <w:r>
        <w:rPr>
          <w:rFonts w:hint="eastAsia" w:ascii="方正小标宋简体" w:hAnsi="方正小标宋简体" w:eastAsia="方正小标宋简体" w:cs="方正小标宋简体"/>
          <w:b w:val="0"/>
          <w:i w:val="0"/>
          <w:caps w:val="0"/>
          <w:color w:val="333333"/>
          <w:spacing w:val="0"/>
          <w:sz w:val="36"/>
          <w:szCs w:val="36"/>
          <w:bdr w:val="none" w:color="auto" w:sz="0" w:space="0"/>
          <w:shd w:val="clear" w:fill="FEFEFE"/>
        </w:rPr>
        <w:t>加强商业保理企业监督管理的通知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720"/>
        <w:jc w:val="center"/>
        <w:rPr>
          <w:rFonts w:hint="default" w:ascii="Times New Roman" w:hAnsi="Times New Roman" w:cs="Times New Roman"/>
          <w:i w:val="0"/>
          <w:caps w:val="0"/>
          <w:color w:val="333333"/>
          <w:spacing w:val="0"/>
          <w:sz w:val="16"/>
          <w:szCs w:val="16"/>
        </w:rPr>
      </w:pPr>
      <w:r>
        <w:rPr>
          <w:rFonts w:hint="eastAsia" w:ascii="黑体" w:hAnsi="宋体" w:eastAsia="黑体" w:cs="黑体"/>
          <w:b w:val="0"/>
          <w:i w:val="0"/>
          <w:caps w:val="0"/>
          <w:color w:val="333333"/>
          <w:spacing w:val="0"/>
          <w:sz w:val="36"/>
          <w:szCs w:val="36"/>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0"/>
        <w:jc w:val="left"/>
        <w:rPr>
          <w:rFonts w:hint="default" w:ascii="Times New Roman" w:hAnsi="Times New Roman" w:cs="Times New Roman"/>
          <w:i w:val="0"/>
          <w:caps w:val="0"/>
          <w:color w:val="333333"/>
          <w:spacing w:val="0"/>
          <w:sz w:val="16"/>
          <w:szCs w:val="16"/>
        </w:rPr>
      </w:pPr>
      <w:r>
        <w:rPr>
          <w:rFonts w:ascii="仿宋_GB2312" w:hAnsi="Times New Roman" w:eastAsia="仿宋_GB2312" w:cs="仿宋_GB2312"/>
          <w:i w:val="0"/>
          <w:caps w:val="0"/>
          <w:color w:val="333333"/>
          <w:spacing w:val="0"/>
          <w:sz w:val="32"/>
          <w:szCs w:val="32"/>
          <w:bdr w:val="none" w:color="auto" w:sz="0" w:space="0"/>
          <w:shd w:val="clear" w:fill="FEFEFE"/>
        </w:rPr>
        <w:t>各省、自治区、直辖市、计划单列市、新疆生产建设兵团地方金融监督管理局：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为规范商业保理企业经营行为，加强监督管理，压实监管责任，防范化解风险，促进商业保理行业健康发展，现就有关事项通知如下：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bookmarkStart w:id="0" w:name="_GoBack"/>
      <w:r>
        <w:rPr>
          <w:rFonts w:hint="eastAsia" w:ascii="黑体" w:hAnsi="宋体" w:eastAsia="黑体" w:cs="黑体"/>
          <w:i w:val="0"/>
          <w:caps w:val="0"/>
          <w:color w:val="333333"/>
          <w:spacing w:val="0"/>
          <w:sz w:val="32"/>
          <w:szCs w:val="32"/>
          <w:bdr w:val="none" w:color="auto" w:sz="0" w:space="0"/>
          <w:shd w:val="clear" w:fill="FEFEFE"/>
        </w:rPr>
        <w:t>一、依法合规经营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（一）商业保理企业开展业务，应遵守《合同法》等法</w:t>
      </w:r>
      <w:bookmarkEnd w:id="0"/>
      <w:r>
        <w:rPr>
          <w:rFonts w:hint="eastAsia" w:ascii="仿宋_GB2312" w:hAnsi="Times New Roman" w:eastAsia="仿宋_GB2312" w:cs="仿宋_GB2312"/>
          <w:i w:val="0"/>
          <w:caps w:val="0"/>
          <w:color w:val="333333"/>
          <w:spacing w:val="0"/>
          <w:sz w:val="32"/>
          <w:szCs w:val="32"/>
          <w:bdr w:val="none" w:color="auto" w:sz="0" w:space="0"/>
          <w:shd w:val="clear" w:fill="FEFEFE"/>
        </w:rPr>
        <w:t>律法规的有关规定，回归本源，专注主业，诚实守信，合规经营，不断提升服务实体经济质效。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（二）商业保理企业应完善公司治理，健全内部控制制度和风险管理体系，防范化解各类风险，保障安全稳健运行。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（三）商业保理业务是供应商将其基于真实交易的应收账款转让给商业保理企业，由商业保理企业向其提供的以下服务：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1.保理融资；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2.销售分户（分类）账管理；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3.应收账款催收；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4.非商业性坏账担保。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商业保理企业应主要经营商业保理业务，同时还可经营客户资信调查与评估、与商业保理相关的咨询服务。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（四）商业保理企业不得有以下行为或经营以下业务：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1.吸收或变相吸收公众存款；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2.通过网络借贷信息中介机构、地方各类交易场所、资产管理机构以及私募投资基金等机构融入资金；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3.与其他商业保理企业拆借或变相拆借资金；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4.发放贷款或受托发放贷款；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5.专门从事或受托开展与商业保理无关的催收业务、讨债业务；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6.基于不合法基础交易合同、寄售合同、权属不清的应收账款、因票据或其他有价证券而产生的付款请求权等开展保理融资业务；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7.国家规定不得从事的其他活动。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（五）商业保理企业可以向银保监会监管的银行和非银行金融机构融资，也可以通过股东借款、发行债券、再保理等渠道融资。融资来源必须符合国家相关法律法规规定。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六）商业保理企业应积极转变业务模式，逐步提高正向保理业务比重，惠及更多供应链上下游中小企业；重点支持符合国家产业政策方向、主业集中于实体经济、技术先进、有市场竞争力的产业链上下游中小企业，助力实体经济和中小企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黑体" w:hAnsi="宋体" w:eastAsia="黑体" w:cs="黑体"/>
          <w:i w:val="0"/>
          <w:caps w:val="0"/>
          <w:color w:val="333333"/>
          <w:spacing w:val="0"/>
          <w:sz w:val="32"/>
          <w:szCs w:val="32"/>
          <w:bdr w:val="none" w:color="auto" w:sz="0" w:space="0"/>
          <w:shd w:val="clear" w:fill="FEFEFE"/>
        </w:rPr>
        <w:t>二、加强监督管理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（七）商业保理企业应遵守以下监管要求：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1.受让同一债务人的应收账款，不得超过风险资产总额的50%；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2.受让以其关联企业为债务人的应收账款，不得超过风险资产总额的40%；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3.将逾期90天未收回或未实现的保理融资款纳入不良资产管理；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4.计提的风险准备金，不得低于融资保理业务期末余额的1%；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5.风险资产不得超过净资产的10倍。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（八）各地方金融监督管理局（以下简称金融监管局）要重点分析商业保理企业的财务状况、业务开展情况及经营风险，评价公司治理、内部控制、风险管理措施有效性，关注风险的外溢和交叉传染。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（九）各金融监管局要全面持续收集商业保理企业的经营管理和风险信息，清晰连续地了解和掌握企业基本状况，要求其定期报送报表资料，包括财务会计、统计报表、经营管理资料及其他资料。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（十）各金融监管局要结合非现场监管发现的问题和风险监管要求，加大现场检查的力度，提升现场检查的深度和广度，提高检查的质量和效率。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现场检查可采取询问商业保理企业工作人员、查阅复制与检查事项相关的文件、资料、系统数据等方式，并可委托第三方中介机构实施。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（十一）商业保理企业应在下列事项发生后10个工作日内向金融监管局报告：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1.单笔金额超过净资产5%的重大关联交易；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2.单笔金额超过净资产10%的重大债务；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3.单笔金额超过净资产20%的或有负债；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4.超过净资产10%的重大损失或赔偿责任；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5.重大待决诉讼、仲裁。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（十二）各金融监管局可根据风险监管需要，采取窗口指导、提高信息报送频率、督促开展自查、做出风险提示和通报、进行监管约谈、开展现场检查等常规性监管措施。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黑体" w:hAnsi="宋体" w:eastAsia="黑体" w:cs="黑体"/>
          <w:i w:val="0"/>
          <w:caps w:val="0"/>
          <w:color w:val="333333"/>
          <w:spacing w:val="0"/>
          <w:sz w:val="32"/>
          <w:szCs w:val="32"/>
          <w:bdr w:val="none" w:color="auto" w:sz="0" w:space="0"/>
          <w:shd w:val="clear" w:fill="FEFEFE"/>
        </w:rPr>
        <w:t>三、稳妥推进分类处置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（十三）各金融监管局要通过信息交叉比对、实地走访、接受信访投诉等方式，继续核查辖内商业保理企业的数量和风险底数，按照经营风险、违法违规情形划分为正常经营、非正常经营和违法违规经营等三类。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十四）正常经营类是指依法合规经营的企业。各金融监管局要对正常经营类商业保理企业按注册地审核其营业执照、公司章程、股东名单、高级管理人员名单和简历、经审计的近两年的资产负债表、利润表、现金流量表及规定的其他资料。对于接受并配合监管、在注册地有经营场所且登录“商业保理信息管理系统”或金融监管局指定信息系统完整填报信息的企业，各金融监管局要在报银保监会审核后分批分次进行公示，纳入监管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十五）非正常经营类主要是指“失联”和“空壳”等经营异常的企业。其中，“失联”企业是指满足以下条件之一的企业：无法取得联系；在企业登记住所实地排查无法找到；虽然可以联系到企业工作人员，但其并不知情也不能联系到企业实际控制人；连续3个月未按监管要求报送月报。“空壳”企业是指满足以下条件之一的企业：上一年度市场监管部门年度报告显示无经营；近6个月监管月报显示无经营；近6个月无纳税记录或“零申报”；近6个月无社保缴纳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各金融监管局要督促非正常经营类和违法违规经营类企业整改。非正常经营类企业整改验收合格的，可纳入监管名单；拒绝整改或整改验收不合格的，各金融监管局要协调市场监管部门将其纳入异常经营名录，劝导其申请变更企业名称和业务范围、自愿注销或依法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十六）违法违规经营类是指经营行为违反法律法规和本通知规定的企业。违法违规情节较轻且整改验收合格的，可纳入监管名单；整改验收不合格或违法违规情节严重的，各金融监管局要依法处罚或取缔，涉嫌违法犯罪的及时移送公安机关依法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0"/>
        <w:jc w:val="both"/>
        <w:rPr>
          <w:rFonts w:hint="default" w:ascii="Times New Roman" w:hAnsi="Times New Roman" w:cs="Times New Roman"/>
          <w:i w:val="0"/>
          <w:caps w:val="0"/>
          <w:color w:val="333333"/>
          <w:spacing w:val="0"/>
          <w:sz w:val="16"/>
          <w:szCs w:val="16"/>
        </w:rPr>
      </w:pPr>
      <w:r>
        <w:rPr>
          <w:rFonts w:hint="eastAsia" w:ascii="黑体" w:hAnsi="宋体" w:eastAsia="黑体" w:cs="黑体"/>
          <w:i w:val="0"/>
          <w:caps w:val="0"/>
          <w:color w:val="333333"/>
          <w:spacing w:val="0"/>
          <w:sz w:val="32"/>
          <w:szCs w:val="32"/>
          <w:bdr w:val="none" w:color="auto" w:sz="0" w:space="0"/>
          <w:shd w:val="clear" w:fill="FEFEFE"/>
        </w:rPr>
        <w:t>    四、严把市场准入关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十七）在商业保理企业市场准入管理办法出台前，各金融监管局要协调市场监管部门严控商业保理企业登记注册。确有必要新设的，要与市场监管部门建立会商机制。严格控制商业保理企业变更注册地址，禁止跨省、自治区、直辖市、计划单列市变更注册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（十八）各金融监管局要严格审核监管名单内商业保理企业股权变更申请，对新股东的背景实力、入股动机、入股资金来源等加强审查，严禁新股东以债务资金或委托资金等非自有资金入股商业保理企业。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黑体" w:hAnsi="宋体" w:eastAsia="黑体" w:cs="黑体"/>
          <w:i w:val="0"/>
          <w:caps w:val="0"/>
          <w:color w:val="333333"/>
          <w:spacing w:val="0"/>
          <w:sz w:val="32"/>
          <w:szCs w:val="32"/>
          <w:bdr w:val="none" w:color="auto" w:sz="0" w:space="0"/>
          <w:shd w:val="clear" w:fill="FEFEFE"/>
        </w:rPr>
        <w:t>五、压实监管责任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十九）银保监会负责制定商业保理企业业务经营和监管规则。各省（区、市）人民政府负责对辖内商业保理企业实施监督管理。各金融监管局具体负责统一归口监管。除新设审批和行政处罚外，各金融监管局可授权省级以下地方金融监管部门负责其他监管工作。建立专职监管员制度，专职监管员的人数、能力要与被监管对象数量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二十）各金融监管局要推动成立商业保理行业清理规范工作领导小组，组长由省（区、市）人民政府分管负责人担任，办公室设在金融监管局，成员单位包括市场监管、公安、人民银行、银保监、税务等部门。主要职责是：研究解决辖内商业保理行业重大问题，制定相关政策措施，加强工作指导，确保2020年6月末前完成存量商业保理企业清理规范工作，并向银保监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二十一）商业保理企业住所地金融监管局要牵头负责跨区域经营商业保理企业的监管，加强与分支机构所在地金融监管局的协调配合，定期共享跨区域经营的商业保理企业分支机构名单和经营信息，避免重复监管和监管真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黑体" w:hAnsi="宋体" w:eastAsia="黑体" w:cs="黑体"/>
          <w:i w:val="0"/>
          <w:caps w:val="0"/>
          <w:color w:val="333333"/>
          <w:spacing w:val="0"/>
          <w:sz w:val="32"/>
          <w:szCs w:val="32"/>
          <w:bdr w:val="none" w:color="auto" w:sz="0" w:space="0"/>
          <w:shd w:val="clear" w:fill="FEFEFE"/>
        </w:rPr>
        <w:t>六、优化营商环境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（二十二）各金融监管局要推动出台风险补偿、奖励、贴息等政策，引导商业保理企业更好为中小微企业提供融资服务。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自由贸易试验区内的商业保理企业可以按照有关规定享受自由贸易试验区关于商业保理企业和支持企业发展的各项优惠政策。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（二十三）鼓励和支持银行保险机构与监管名单内商业保理企业进行合作，按照平等、自愿、公平和诚实信用原则提供融资。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鼓励银行业金融机构向商业保理企业提供境外合作渠道支持，助力商业保理企业拓展国际业务。支持保险公司在风险可控前提下，研究探索与商业保理企业加强业务合作，提供保险保障服务，增强商业保理企业风险抵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（二十四）各金融监管局要加强对商业保理行业重大问题的研究，深入总结行业发展经验，综合研判本地商业保理行业的发展现状与潜在问题，持续引导商业保理行业高质量发展。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640"/>
        <w:jc w:val="both"/>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2"/>
          <w:szCs w:val="32"/>
          <w:bdr w:val="none" w:color="auto" w:sz="0" w:space="0"/>
          <w:shd w:val="clear" w:fill="FEFEFE"/>
        </w:rPr>
        <w:t>（二十五）地方商业保理行业协会要积极发挥作用，加大对商业保理行业的宣传和普及力度，提升社会认知度；引导企业诚实守信、公平竞争、依法合规经营；通过培训、交流等方式，不断提高从业人员合规意识、内控和风险管理水平，促进行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0"/>
        <w:jc w:val="both"/>
        <w:rPr>
          <w:rFonts w:hint="default" w:ascii="Times New Roman" w:hAnsi="Times New Roman" w:cs="Times New Roman"/>
          <w:i w:val="0"/>
          <w:caps w:val="0"/>
          <w:color w:val="333333"/>
          <w:spacing w:val="0"/>
          <w:sz w:val="16"/>
          <w:szCs w:val="16"/>
        </w:rPr>
      </w:pPr>
      <w:r>
        <w:rPr>
          <w:rFonts w:hint="default" w:ascii="Times New Roman" w:hAnsi="Times New Roman" w:cs="Times New Roman"/>
          <w:i w:val="0"/>
          <w:caps w:val="0"/>
          <w:color w:val="333333"/>
          <w:spacing w:val="0"/>
          <w:sz w:val="36"/>
          <w:szCs w:val="36"/>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0"/>
        <w:jc w:val="both"/>
        <w:rPr>
          <w:rFonts w:hint="default" w:ascii="Times New Roman" w:hAnsi="Times New Roman" w:cs="Times New Roman"/>
          <w:i w:val="0"/>
          <w:caps w:val="0"/>
          <w:color w:val="333333"/>
          <w:spacing w:val="0"/>
          <w:sz w:val="16"/>
          <w:szCs w:val="16"/>
        </w:rPr>
      </w:pPr>
      <w:r>
        <w:rPr>
          <w:rFonts w:hint="default" w:ascii="Times New Roman" w:hAnsi="Times New Roman" w:cs="Times New Roman"/>
          <w:i w:val="0"/>
          <w:caps w:val="0"/>
          <w:color w:val="333333"/>
          <w:spacing w:val="0"/>
          <w:sz w:val="36"/>
          <w:szCs w:val="36"/>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0"/>
        <w:jc w:val="both"/>
        <w:rPr>
          <w:rFonts w:hint="default" w:ascii="Times New Roman" w:hAnsi="Times New Roman" w:cs="Times New Roman"/>
          <w:i w:val="0"/>
          <w:caps w:val="0"/>
          <w:color w:val="333333"/>
          <w:spacing w:val="0"/>
          <w:sz w:val="16"/>
          <w:szCs w:val="16"/>
        </w:rPr>
      </w:pPr>
      <w:r>
        <w:rPr>
          <w:rFonts w:hint="default" w:ascii="Times New Roman" w:hAnsi="Times New Roman" w:cs="Times New Roman"/>
          <w:i w:val="0"/>
          <w:caps w:val="0"/>
          <w:color w:val="333333"/>
          <w:spacing w:val="0"/>
          <w:sz w:val="36"/>
          <w:szCs w:val="36"/>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720"/>
        <w:jc w:val="right"/>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6"/>
          <w:szCs w:val="36"/>
          <w:bdr w:val="none" w:color="auto" w:sz="0" w:space="0"/>
          <w:shd w:val="clear" w:fill="FEFEFE"/>
        </w:rPr>
        <w:t>中国银行保险监督管理委员会办公厅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720"/>
        <w:jc w:val="center"/>
        <w:rPr>
          <w:rFonts w:hint="default" w:ascii="Times New Roman" w:hAnsi="Times New Roman" w:cs="Times New Roman"/>
          <w:i w:val="0"/>
          <w:caps w:val="0"/>
          <w:color w:val="333333"/>
          <w:spacing w:val="0"/>
          <w:sz w:val="16"/>
          <w:szCs w:val="16"/>
        </w:rPr>
      </w:pPr>
      <w:r>
        <w:rPr>
          <w:rFonts w:hint="eastAsia" w:ascii="仿宋_GB2312" w:hAnsi="Times New Roman" w:eastAsia="仿宋_GB2312" w:cs="仿宋_GB2312"/>
          <w:i w:val="0"/>
          <w:caps w:val="0"/>
          <w:color w:val="333333"/>
          <w:spacing w:val="0"/>
          <w:sz w:val="36"/>
          <w:szCs w:val="36"/>
          <w:bdr w:val="none" w:color="auto" w:sz="0" w:space="0"/>
          <w:shd w:val="clear" w:fill="FEFEFE"/>
        </w:rPr>
        <w:t>                         2019年10月18日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42795"/>
    <w:rsid w:val="39B42795"/>
    <w:rsid w:val="476F03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2021-04-20T02:31:00Z</dcterms:created>
  <dc:creator>安梓琪。戰神。</dc:creator>
  <cp:lastModifiedBy>安梓琪。戰神。</cp:lastModifiedBy>
  <dcterms:modified xsi:type="dcterms:W3CDTF">2021-04-20T02:42:15Z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